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B019E4" w14:textId="77777777" w:rsidR="008A3E79" w:rsidRDefault="008A3E79" w:rsidP="008A3E79">
      <w:pPr>
        <w:pStyle w:val="NormalWeb"/>
        <w:shd w:val="clear" w:color="auto" w:fill="FFFFFF"/>
        <w:spacing w:before="180" w:beforeAutospacing="0" w:after="180" w:afterAutospacing="0" w:line="271" w:lineRule="atLeast"/>
        <w:rPr>
          <w:rFonts w:ascii="Verdana" w:hAnsi="Verdana"/>
          <w:color w:val="333333"/>
          <w:sz w:val="19"/>
          <w:szCs w:val="19"/>
        </w:rPr>
      </w:pPr>
      <w:r>
        <w:rPr>
          <w:rStyle w:val="Strong"/>
          <w:rFonts w:ascii="Verdana" w:hAnsi="Verdana"/>
          <w:color w:val="333333"/>
          <w:sz w:val="19"/>
          <w:szCs w:val="19"/>
        </w:rPr>
        <w:t>Purpose</w:t>
      </w:r>
      <w:r>
        <w:rPr>
          <w:rFonts w:ascii="Verdana" w:hAnsi="Verdana"/>
          <w:color w:val="333333"/>
          <w:sz w:val="19"/>
          <w:szCs w:val="19"/>
        </w:rPr>
        <w:br/>
        <w:t xml:space="preserve">Before we turn to the research portion of the class, we'll read, write, and reflect on college-level research practices. This assignment will, ideally, help you approach your own research with a greater understanding of academic research and source use. It also helps you to learn how to read academic articles (the kinds you will locate in your own research). Be sure to use the reading guides as you read the articles for this assignment; these reading guides teach you how </w:t>
      </w:r>
      <w:bookmarkStart w:id="0" w:name="_GoBack"/>
      <w:bookmarkEnd w:id="0"/>
      <w:r>
        <w:rPr>
          <w:rFonts w:ascii="Verdana" w:hAnsi="Verdana"/>
          <w:color w:val="333333"/>
          <w:sz w:val="19"/>
          <w:szCs w:val="19"/>
        </w:rPr>
        <w:t>to break down an academic article into sections to read, skim, and skip. Finally, this essay asks you to reference sources in your essay that your instructor and fellow classmates know well, which means that they can help you master citation and paraphrase skills during the drafting and revision process.</w:t>
      </w:r>
    </w:p>
    <w:p w14:paraId="4FDDE165" w14:textId="77777777" w:rsidR="008A3E79" w:rsidRDefault="008A3E79" w:rsidP="008A3E79">
      <w:pPr>
        <w:pStyle w:val="NormalWeb"/>
        <w:shd w:val="clear" w:color="auto" w:fill="FFFFFF"/>
        <w:spacing w:before="180" w:beforeAutospacing="0" w:after="180" w:afterAutospacing="0" w:line="271" w:lineRule="atLeast"/>
        <w:rPr>
          <w:rFonts w:ascii="Verdana" w:hAnsi="Verdana"/>
          <w:color w:val="333333"/>
          <w:sz w:val="19"/>
          <w:szCs w:val="19"/>
        </w:rPr>
      </w:pPr>
      <w:r>
        <w:rPr>
          <w:rStyle w:val="Strong"/>
          <w:rFonts w:ascii="Verdana" w:hAnsi="Verdana"/>
          <w:color w:val="333333"/>
          <w:sz w:val="19"/>
          <w:szCs w:val="19"/>
        </w:rPr>
        <w:t>Assignment:</w:t>
      </w:r>
      <w:r>
        <w:rPr>
          <w:rFonts w:ascii="Verdana" w:hAnsi="Verdana"/>
          <w:color w:val="333333"/>
          <w:sz w:val="19"/>
          <w:szCs w:val="19"/>
        </w:rPr>
        <w:br/>
        <w:t xml:space="preserve">We’ve read Chris Anson “Fraudulent Practices: Academic Misrepresentations of Plagiarism In the Name of Good Pedagogy,” James M Lang “It’s not You,” Randall McClure “Examining the Presence of Advocacy and Commercial Websites in Research Essays of First-Year Composition Students,” Les Perelman “Information Illiteracy and Mass Market Writing Instruction,” and Howard, Rebecca Moore, Tanya K. </w:t>
      </w:r>
      <w:proofErr w:type="spellStart"/>
      <w:r>
        <w:rPr>
          <w:rFonts w:ascii="Verdana" w:hAnsi="Verdana"/>
          <w:color w:val="333333"/>
          <w:sz w:val="19"/>
          <w:szCs w:val="19"/>
        </w:rPr>
        <w:t>Rodrigue</w:t>
      </w:r>
      <w:proofErr w:type="spellEnd"/>
      <w:r>
        <w:rPr>
          <w:rFonts w:ascii="Verdana" w:hAnsi="Verdana"/>
          <w:color w:val="333333"/>
          <w:sz w:val="19"/>
          <w:szCs w:val="19"/>
        </w:rPr>
        <w:t xml:space="preserve">, and Tricia C. </w:t>
      </w:r>
      <w:proofErr w:type="spellStart"/>
      <w:r>
        <w:rPr>
          <w:rFonts w:ascii="Verdana" w:hAnsi="Verdana"/>
          <w:color w:val="333333"/>
          <w:sz w:val="19"/>
          <w:szCs w:val="19"/>
        </w:rPr>
        <w:t>Serviss</w:t>
      </w:r>
      <w:proofErr w:type="spellEnd"/>
      <w:r>
        <w:rPr>
          <w:rFonts w:ascii="Verdana" w:hAnsi="Verdana"/>
          <w:color w:val="333333"/>
          <w:sz w:val="19"/>
          <w:szCs w:val="19"/>
        </w:rPr>
        <w:t xml:space="preserve"> “Writing from Sources, Writing from Sentences,” and we’ve reflected on our own source use and research in college.</w:t>
      </w:r>
    </w:p>
    <w:p w14:paraId="0E1CC7EC" w14:textId="77777777" w:rsidR="008A3E79" w:rsidRDefault="008A3E79" w:rsidP="008A3E79">
      <w:pPr>
        <w:pStyle w:val="NormalWeb"/>
        <w:shd w:val="clear" w:color="auto" w:fill="FFFFFF"/>
        <w:spacing w:before="180" w:beforeAutospacing="0" w:after="180" w:afterAutospacing="0" w:line="271" w:lineRule="atLeast"/>
        <w:rPr>
          <w:rFonts w:ascii="Verdana" w:hAnsi="Verdana"/>
          <w:color w:val="333333"/>
          <w:sz w:val="19"/>
          <w:szCs w:val="19"/>
        </w:rPr>
      </w:pPr>
      <w:r>
        <w:rPr>
          <w:rFonts w:ascii="Verdana" w:hAnsi="Verdana"/>
          <w:color w:val="333333"/>
          <w:sz w:val="19"/>
          <w:szCs w:val="19"/>
        </w:rPr>
        <w:t>This assignment asks you to argue a position on student source use in the academy using at least two of the above readings (not counting Lang) and your own experience as a college writer. This "position" doesn't need to offer a solution or take a definitive stance; it may, for example, argue for the two main challenges to students finding and using quality sources or for the central dilemma in student plagiarism.</w:t>
      </w:r>
    </w:p>
    <w:p w14:paraId="012E4F40" w14:textId="77777777" w:rsidR="008A3E79" w:rsidRDefault="008A3E79" w:rsidP="008A3E79">
      <w:pPr>
        <w:pStyle w:val="NormalWeb"/>
        <w:shd w:val="clear" w:color="auto" w:fill="FFFFFF"/>
        <w:spacing w:before="180" w:beforeAutospacing="0" w:after="180" w:afterAutospacing="0" w:line="271" w:lineRule="atLeast"/>
        <w:rPr>
          <w:rFonts w:ascii="Verdana" w:hAnsi="Verdana"/>
          <w:color w:val="333333"/>
          <w:sz w:val="19"/>
          <w:szCs w:val="19"/>
        </w:rPr>
      </w:pPr>
      <w:r>
        <w:rPr>
          <w:rStyle w:val="Strong"/>
          <w:rFonts w:ascii="Verdana" w:hAnsi="Verdana"/>
          <w:color w:val="333333"/>
          <w:sz w:val="19"/>
          <w:szCs w:val="19"/>
        </w:rPr>
        <w:t>Requirements:</w:t>
      </w:r>
      <w:r>
        <w:rPr>
          <w:rFonts w:ascii="Verdana" w:hAnsi="Verdana"/>
          <w:color w:val="333333"/>
          <w:sz w:val="19"/>
          <w:szCs w:val="19"/>
        </w:rPr>
        <w:br/>
        <w:t xml:space="preserve">The essay needs to be 4-5 pages double-spaced, Times New Roman </w:t>
      </w:r>
      <w:proofErr w:type="gramStart"/>
      <w:r>
        <w:rPr>
          <w:rFonts w:ascii="Verdana" w:hAnsi="Verdana"/>
          <w:color w:val="333333"/>
          <w:sz w:val="19"/>
          <w:szCs w:val="19"/>
        </w:rPr>
        <w:t>12 inch</w:t>
      </w:r>
      <w:proofErr w:type="gramEnd"/>
      <w:r>
        <w:rPr>
          <w:rFonts w:ascii="Verdana" w:hAnsi="Verdana"/>
          <w:color w:val="333333"/>
          <w:sz w:val="19"/>
          <w:szCs w:val="19"/>
        </w:rPr>
        <w:t xml:space="preserve"> Font. It will need to correctly cite and/or paraphrase passages from the texts in correct MLA form. You must refer to least two of the following four writers: Chris Anson, Randall McClure, Les Perelman or Howard et al. This essay can and should include personal experience and/or field research in addition to the scholarly sources read in class.</w:t>
      </w:r>
    </w:p>
    <w:p w14:paraId="68A30BA9" w14:textId="77777777" w:rsidR="00D82461" w:rsidRDefault="00D82461" w:rsidP="00D82461">
      <w:pPr>
        <w:textAlignment w:val="baseline"/>
      </w:pPr>
    </w:p>
    <w:p w14:paraId="52034230" w14:textId="77777777" w:rsidR="00D82461" w:rsidRDefault="00D82461" w:rsidP="00D82461">
      <w:pPr>
        <w:textAlignment w:val="baseline"/>
      </w:pPr>
    </w:p>
    <w:p w14:paraId="620F110A" w14:textId="77777777" w:rsidR="00D82461" w:rsidRDefault="00D82461" w:rsidP="00D82461">
      <w:pPr>
        <w:textAlignment w:val="baseline"/>
      </w:pPr>
    </w:p>
    <w:p w14:paraId="770D9228" w14:textId="77777777" w:rsidR="00D82461" w:rsidRDefault="00D82461" w:rsidP="00D82461">
      <w:pPr>
        <w:textAlignment w:val="baseline"/>
      </w:pPr>
    </w:p>
    <w:p w14:paraId="5EAD0D74" w14:textId="77777777" w:rsidR="00D82461" w:rsidRDefault="00D82461" w:rsidP="00D82461">
      <w:pPr>
        <w:textAlignment w:val="baseline"/>
      </w:pPr>
    </w:p>
    <w:p w14:paraId="2FE9FDF9" w14:textId="77777777" w:rsidR="00D82461" w:rsidRDefault="00D82461" w:rsidP="00D82461">
      <w:pPr>
        <w:textAlignment w:val="baseline"/>
      </w:pPr>
    </w:p>
    <w:p w14:paraId="3EC10356" w14:textId="77777777" w:rsidR="00D82461" w:rsidRDefault="00D82461" w:rsidP="00D82461">
      <w:pPr>
        <w:textAlignment w:val="baseline"/>
      </w:pPr>
    </w:p>
    <w:p w14:paraId="0DA9D7D5" w14:textId="77777777" w:rsidR="00D82461" w:rsidRDefault="00D82461" w:rsidP="00D82461">
      <w:pPr>
        <w:textAlignment w:val="baseline"/>
      </w:pPr>
    </w:p>
    <w:p w14:paraId="47C9B4D6" w14:textId="77777777" w:rsidR="00D82461" w:rsidRDefault="00D82461" w:rsidP="00D82461">
      <w:pPr>
        <w:textAlignment w:val="baseline"/>
      </w:pPr>
    </w:p>
    <w:p w14:paraId="202B40E6" w14:textId="77777777" w:rsidR="00D82461" w:rsidRDefault="00D82461" w:rsidP="00D82461">
      <w:pPr>
        <w:textAlignment w:val="baseline"/>
      </w:pPr>
    </w:p>
    <w:p w14:paraId="36657226" w14:textId="77777777" w:rsidR="00D82461" w:rsidRDefault="00D82461" w:rsidP="00D82461">
      <w:pPr>
        <w:textAlignment w:val="baseline"/>
      </w:pPr>
    </w:p>
    <w:p w14:paraId="6CD8F74A" w14:textId="77777777" w:rsidR="00D82461" w:rsidRDefault="00D82461" w:rsidP="00D82461">
      <w:pPr>
        <w:textAlignment w:val="baseline"/>
      </w:pPr>
    </w:p>
    <w:p w14:paraId="5A93C9C4" w14:textId="77777777" w:rsidR="00D82461" w:rsidRDefault="00D82461" w:rsidP="00D82461">
      <w:pPr>
        <w:textAlignment w:val="baseline"/>
      </w:pPr>
    </w:p>
    <w:p w14:paraId="72B05604" w14:textId="77777777" w:rsidR="00D82461" w:rsidRDefault="00D82461" w:rsidP="00D82461">
      <w:pPr>
        <w:textAlignment w:val="baseline"/>
      </w:pPr>
    </w:p>
    <w:p w14:paraId="71E0D448" w14:textId="77777777" w:rsidR="00D82461" w:rsidRDefault="00D82461" w:rsidP="00D82461">
      <w:pPr>
        <w:textAlignment w:val="baseline"/>
        <w:rPr>
          <w:rFonts w:ascii="inherit" w:eastAsia="Times New Roman" w:hAnsi="inherit" w:cs="Times New Roman"/>
          <w:color w:val="373737"/>
          <w:sz w:val="23"/>
          <w:szCs w:val="23"/>
        </w:rPr>
      </w:pPr>
    </w:p>
    <w:p w14:paraId="593CBFAC" w14:textId="77777777" w:rsidR="00D82461" w:rsidRPr="00D82461" w:rsidRDefault="00D82461" w:rsidP="00D82461">
      <w:pPr>
        <w:numPr>
          <w:ilvl w:val="0"/>
          <w:numId w:val="1"/>
        </w:numPr>
        <w:ind w:left="600"/>
        <w:textAlignment w:val="baseline"/>
        <w:rPr>
          <w:rFonts w:ascii="inherit" w:eastAsia="Times New Roman" w:hAnsi="inherit" w:cs="Times New Roman"/>
          <w:color w:val="373737"/>
          <w:sz w:val="23"/>
          <w:szCs w:val="23"/>
        </w:rPr>
      </w:pPr>
      <w:hyperlink r:id="rId7" w:tooltip="fraudulent practices" w:history="1">
        <w:r w:rsidRPr="00D82461">
          <w:rPr>
            <w:rFonts w:ascii="inherit" w:eastAsia="Times New Roman" w:hAnsi="inherit" w:cs="Times New Roman"/>
            <w:color w:val="1982D1"/>
            <w:sz w:val="23"/>
            <w:szCs w:val="23"/>
            <w:bdr w:val="none" w:sz="0" w:space="0" w:color="auto" w:frame="1"/>
          </w:rPr>
          <w:t xml:space="preserve">Anson, Chris. “Fraudulent Practices: Academic Misrepresentations of Plagiarism </w:t>
        </w:r>
        <w:proofErr w:type="gramStart"/>
        <w:r w:rsidRPr="00D82461">
          <w:rPr>
            <w:rFonts w:ascii="inherit" w:eastAsia="Times New Roman" w:hAnsi="inherit" w:cs="Times New Roman"/>
            <w:color w:val="1982D1"/>
            <w:sz w:val="23"/>
            <w:szCs w:val="23"/>
            <w:bdr w:val="none" w:sz="0" w:space="0" w:color="auto" w:frame="1"/>
          </w:rPr>
          <w:t>In</w:t>
        </w:r>
        <w:proofErr w:type="gramEnd"/>
        <w:r w:rsidRPr="00D82461">
          <w:rPr>
            <w:rFonts w:ascii="inherit" w:eastAsia="Times New Roman" w:hAnsi="inherit" w:cs="Times New Roman"/>
            <w:color w:val="1982D1"/>
            <w:sz w:val="23"/>
            <w:szCs w:val="23"/>
            <w:bdr w:val="none" w:sz="0" w:space="0" w:color="auto" w:frame="1"/>
          </w:rPr>
          <w:t xml:space="preserve"> the Name of Good Pedagogy” Composition Studies 39.2 (2011): 29-43.</w:t>
        </w:r>
      </w:hyperlink>
    </w:p>
    <w:p w14:paraId="0A920A85" w14:textId="77777777" w:rsidR="00D82461" w:rsidRPr="00D82461" w:rsidRDefault="00D82461" w:rsidP="00D82461">
      <w:pPr>
        <w:numPr>
          <w:ilvl w:val="0"/>
          <w:numId w:val="1"/>
        </w:numPr>
        <w:ind w:left="600"/>
        <w:textAlignment w:val="baseline"/>
        <w:rPr>
          <w:rFonts w:ascii="inherit" w:eastAsia="Times New Roman" w:hAnsi="inherit" w:cs="Times New Roman"/>
          <w:color w:val="373737"/>
          <w:sz w:val="23"/>
          <w:szCs w:val="23"/>
        </w:rPr>
      </w:pPr>
      <w:hyperlink r:id="rId8" w:tgtFrame="_blank" w:history="1">
        <w:r w:rsidRPr="00D82461">
          <w:rPr>
            <w:rFonts w:ascii="inherit" w:eastAsia="Times New Roman" w:hAnsi="inherit" w:cs="Times New Roman"/>
            <w:color w:val="1982D1"/>
            <w:sz w:val="23"/>
            <w:szCs w:val="23"/>
            <w:bdr w:val="none" w:sz="0" w:space="0" w:color="auto" w:frame="1"/>
          </w:rPr>
          <w:t xml:space="preserve">Howard, Rebecca Moore, Tanya K. </w:t>
        </w:r>
        <w:proofErr w:type="spellStart"/>
        <w:r w:rsidRPr="00D82461">
          <w:rPr>
            <w:rFonts w:ascii="inherit" w:eastAsia="Times New Roman" w:hAnsi="inherit" w:cs="Times New Roman"/>
            <w:color w:val="1982D1"/>
            <w:sz w:val="23"/>
            <w:szCs w:val="23"/>
            <w:bdr w:val="none" w:sz="0" w:space="0" w:color="auto" w:frame="1"/>
          </w:rPr>
          <w:t>Rodrigue</w:t>
        </w:r>
        <w:proofErr w:type="spellEnd"/>
        <w:r w:rsidRPr="00D82461">
          <w:rPr>
            <w:rFonts w:ascii="inherit" w:eastAsia="Times New Roman" w:hAnsi="inherit" w:cs="Times New Roman"/>
            <w:color w:val="1982D1"/>
            <w:sz w:val="23"/>
            <w:szCs w:val="23"/>
            <w:bdr w:val="none" w:sz="0" w:space="0" w:color="auto" w:frame="1"/>
          </w:rPr>
          <w:t xml:space="preserve">, and Tricia C. </w:t>
        </w:r>
        <w:proofErr w:type="spellStart"/>
        <w:r w:rsidRPr="00D82461">
          <w:rPr>
            <w:rFonts w:ascii="inherit" w:eastAsia="Times New Roman" w:hAnsi="inherit" w:cs="Times New Roman"/>
            <w:color w:val="1982D1"/>
            <w:sz w:val="23"/>
            <w:szCs w:val="23"/>
            <w:bdr w:val="none" w:sz="0" w:space="0" w:color="auto" w:frame="1"/>
          </w:rPr>
          <w:t>Serviss</w:t>
        </w:r>
        <w:proofErr w:type="spellEnd"/>
        <w:r w:rsidRPr="00D82461">
          <w:rPr>
            <w:rFonts w:ascii="inherit" w:eastAsia="Times New Roman" w:hAnsi="inherit" w:cs="Times New Roman"/>
            <w:color w:val="1982D1"/>
            <w:sz w:val="23"/>
            <w:szCs w:val="23"/>
            <w:bdr w:val="none" w:sz="0" w:space="0" w:color="auto" w:frame="1"/>
          </w:rPr>
          <w:t>. “Writing from Sources, Writing from Sentences.” WAP 2.2 (2010): 177-192.</w:t>
        </w:r>
      </w:hyperlink>
    </w:p>
    <w:p w14:paraId="1FAA4C69" w14:textId="77777777" w:rsidR="00D82461" w:rsidRPr="00D82461" w:rsidRDefault="00D82461" w:rsidP="00D82461">
      <w:pPr>
        <w:numPr>
          <w:ilvl w:val="0"/>
          <w:numId w:val="1"/>
        </w:numPr>
        <w:ind w:left="600"/>
        <w:textAlignment w:val="baseline"/>
        <w:rPr>
          <w:rFonts w:ascii="inherit" w:eastAsia="Times New Roman" w:hAnsi="inherit" w:cs="Times New Roman"/>
          <w:color w:val="373737"/>
          <w:sz w:val="23"/>
          <w:szCs w:val="23"/>
        </w:rPr>
      </w:pPr>
      <w:hyperlink r:id="rId9" w:tgtFrame="_blank" w:tooltip="helping students use sources" w:history="1">
        <w:proofErr w:type="spellStart"/>
        <w:r w:rsidRPr="00D82461">
          <w:rPr>
            <w:rFonts w:ascii="inherit" w:eastAsia="Times New Roman" w:hAnsi="inherit" w:cs="Times New Roman"/>
            <w:color w:val="1982D1"/>
            <w:sz w:val="23"/>
            <w:szCs w:val="23"/>
            <w:bdr w:val="none" w:sz="0" w:space="0" w:color="auto" w:frame="1"/>
          </w:rPr>
          <w:t>Kantz</w:t>
        </w:r>
        <w:proofErr w:type="spellEnd"/>
        <w:r w:rsidRPr="00D82461">
          <w:rPr>
            <w:rFonts w:ascii="inherit" w:eastAsia="Times New Roman" w:hAnsi="inherit" w:cs="Times New Roman"/>
            <w:color w:val="1982D1"/>
            <w:sz w:val="23"/>
            <w:szCs w:val="23"/>
            <w:bdr w:val="none" w:sz="0" w:space="0" w:color="auto" w:frame="1"/>
          </w:rPr>
          <w:t>, Margaret. “Helping Students Use Textual Sources Persuasively.” College English 52.1 (1990):74-91.</w:t>
        </w:r>
      </w:hyperlink>
    </w:p>
    <w:p w14:paraId="6342258B" w14:textId="77777777" w:rsidR="00D82461" w:rsidRPr="00D82461" w:rsidRDefault="00D82461" w:rsidP="00D82461">
      <w:pPr>
        <w:numPr>
          <w:ilvl w:val="0"/>
          <w:numId w:val="1"/>
        </w:numPr>
        <w:ind w:left="600"/>
        <w:textAlignment w:val="baseline"/>
        <w:rPr>
          <w:rFonts w:ascii="inherit" w:eastAsia="Times New Roman" w:hAnsi="inherit" w:cs="Times New Roman"/>
          <w:color w:val="373737"/>
          <w:sz w:val="23"/>
          <w:szCs w:val="23"/>
        </w:rPr>
      </w:pPr>
      <w:hyperlink r:id="rId10" w:history="1">
        <w:r w:rsidRPr="00D82461">
          <w:rPr>
            <w:rFonts w:ascii="inherit" w:eastAsia="Times New Roman" w:hAnsi="inherit" w:cs="Times New Roman"/>
            <w:color w:val="1982D1"/>
            <w:sz w:val="23"/>
            <w:szCs w:val="23"/>
            <w:bdr w:val="none" w:sz="0" w:space="0" w:color="auto" w:frame="1"/>
          </w:rPr>
          <w:t>Lang, James M. “It’s not You.” 23 Oct. 2007.</w:t>
        </w:r>
      </w:hyperlink>
    </w:p>
    <w:p w14:paraId="7BA737AF" w14:textId="77777777" w:rsidR="00D82461" w:rsidRPr="00D82461" w:rsidRDefault="00D82461" w:rsidP="00D82461">
      <w:pPr>
        <w:numPr>
          <w:ilvl w:val="0"/>
          <w:numId w:val="1"/>
        </w:numPr>
        <w:ind w:left="600"/>
        <w:textAlignment w:val="baseline"/>
        <w:rPr>
          <w:rFonts w:ascii="inherit" w:eastAsia="Times New Roman" w:hAnsi="inherit" w:cs="Times New Roman"/>
          <w:color w:val="373737"/>
          <w:sz w:val="23"/>
          <w:szCs w:val="23"/>
        </w:rPr>
      </w:pPr>
      <w:hyperlink r:id="rId11" w:tgtFrame="_blank" w:tooltip="advocacy websites" w:history="1">
        <w:r w:rsidRPr="00D82461">
          <w:rPr>
            <w:rFonts w:ascii="inherit" w:eastAsia="Times New Roman" w:hAnsi="inherit" w:cs="Times New Roman"/>
            <w:color w:val="1982D1"/>
            <w:sz w:val="23"/>
            <w:szCs w:val="23"/>
            <w:bdr w:val="none" w:sz="0" w:space="0" w:color="auto" w:frame="1"/>
          </w:rPr>
          <w:t>McClure, Randall. “Examining the Presence of Advocacy and Commercial Websites in Research Essays of First-Year Composition Students.” WPA 32.3 (2009): 49-74.</w:t>
        </w:r>
      </w:hyperlink>
    </w:p>
    <w:p w14:paraId="59102DE2" w14:textId="77777777" w:rsidR="00D82461" w:rsidRPr="00D82461" w:rsidRDefault="00D82461" w:rsidP="00D82461">
      <w:pPr>
        <w:numPr>
          <w:ilvl w:val="0"/>
          <w:numId w:val="1"/>
        </w:numPr>
        <w:ind w:left="600"/>
        <w:textAlignment w:val="baseline"/>
        <w:rPr>
          <w:rFonts w:ascii="inherit" w:eastAsia="Times New Roman" w:hAnsi="inherit" w:cs="Times New Roman"/>
          <w:color w:val="373737"/>
          <w:sz w:val="23"/>
          <w:szCs w:val="23"/>
        </w:rPr>
      </w:pPr>
      <w:hyperlink r:id="rId12" w:tgtFrame="_blank" w:tooltip="information illiteracy" w:history="1">
        <w:r w:rsidRPr="00D82461">
          <w:rPr>
            <w:rFonts w:ascii="inherit" w:eastAsia="Times New Roman" w:hAnsi="inherit" w:cs="Times New Roman"/>
            <w:color w:val="1982D1"/>
            <w:sz w:val="23"/>
            <w:szCs w:val="23"/>
            <w:bdr w:val="none" w:sz="0" w:space="0" w:color="auto" w:frame="1"/>
          </w:rPr>
          <w:t>Perelman, Les. “Information Illiteracy and Mass Market Writing Instruction.” College Composition and Communication 60.1(2008): 128-141.</w:t>
        </w:r>
      </w:hyperlink>
    </w:p>
    <w:p w14:paraId="5CBD13F0" w14:textId="77777777" w:rsidR="00D82461" w:rsidRPr="00D82461" w:rsidRDefault="00D82461" w:rsidP="00D82461">
      <w:pPr>
        <w:numPr>
          <w:ilvl w:val="0"/>
          <w:numId w:val="1"/>
        </w:numPr>
        <w:ind w:left="600"/>
        <w:textAlignment w:val="baseline"/>
        <w:rPr>
          <w:rFonts w:ascii="inherit" w:eastAsia="Times New Roman" w:hAnsi="inherit" w:cs="Times New Roman"/>
          <w:color w:val="373737"/>
          <w:sz w:val="23"/>
          <w:szCs w:val="23"/>
        </w:rPr>
      </w:pPr>
      <w:hyperlink r:id="rId13" w:tooltip="buying in" w:history="1">
        <w:r w:rsidRPr="00D82461">
          <w:rPr>
            <w:rFonts w:ascii="inherit" w:eastAsia="Times New Roman" w:hAnsi="inherit" w:cs="Times New Roman"/>
            <w:color w:val="1982D1"/>
            <w:sz w:val="23"/>
            <w:szCs w:val="23"/>
            <w:bdr w:val="none" w:sz="0" w:space="0" w:color="auto" w:frame="1"/>
          </w:rPr>
          <w:t xml:space="preserve">Ritter, Kelly. </w:t>
        </w:r>
        <w:proofErr w:type="gramStart"/>
        <w:r w:rsidRPr="00D82461">
          <w:rPr>
            <w:rFonts w:ascii="inherit" w:eastAsia="Times New Roman" w:hAnsi="inherit" w:cs="Times New Roman"/>
            <w:color w:val="1982D1"/>
            <w:sz w:val="23"/>
            <w:szCs w:val="23"/>
            <w:bdr w:val="none" w:sz="0" w:space="0" w:color="auto" w:frame="1"/>
          </w:rPr>
          <w:t>”Buying</w:t>
        </w:r>
        <w:proofErr w:type="gramEnd"/>
        <w:r w:rsidRPr="00D82461">
          <w:rPr>
            <w:rFonts w:ascii="inherit" w:eastAsia="Times New Roman" w:hAnsi="inherit" w:cs="Times New Roman"/>
            <w:color w:val="1982D1"/>
            <w:sz w:val="23"/>
            <w:szCs w:val="23"/>
            <w:bdr w:val="none" w:sz="0" w:space="0" w:color="auto" w:frame="1"/>
          </w:rPr>
          <w:t xml:space="preserve"> In, Selling Short: A Pedagogy against the Rhetoric of Online Paper Mills.” Pedagogy: Critical Approaches to Teaching Literature, Language, Composition, and Culture 6.1 (2006):25-51.</w:t>
        </w:r>
      </w:hyperlink>
    </w:p>
    <w:p w14:paraId="5CB2BA0C" w14:textId="77777777" w:rsidR="00D82461" w:rsidRPr="00D82461" w:rsidRDefault="00D82461" w:rsidP="00D82461">
      <w:pPr>
        <w:numPr>
          <w:ilvl w:val="0"/>
          <w:numId w:val="1"/>
        </w:numPr>
        <w:ind w:left="600"/>
        <w:textAlignment w:val="baseline"/>
        <w:rPr>
          <w:rFonts w:ascii="inherit" w:eastAsia="Times New Roman" w:hAnsi="inherit" w:cs="Times New Roman"/>
          <w:color w:val="373737"/>
          <w:sz w:val="23"/>
          <w:szCs w:val="23"/>
        </w:rPr>
      </w:pPr>
      <w:hyperlink r:id="rId14" w:tgtFrame="_blank" w:tooltip="economics of plagiarism" w:history="1">
        <w:r w:rsidRPr="00D82461">
          <w:rPr>
            <w:rFonts w:ascii="inherit" w:eastAsia="Times New Roman" w:hAnsi="inherit" w:cs="Times New Roman"/>
            <w:color w:val="1982D1"/>
            <w:sz w:val="23"/>
            <w:szCs w:val="23"/>
            <w:bdr w:val="none" w:sz="0" w:space="0" w:color="auto" w:frame="1"/>
          </w:rPr>
          <w:t>Ritter, Kelly. The Economics of Authorship: Online Paper Mills, Student Writers, and First-Year Composition.” College Composition and Communication 56.4 (2005): 601-631.</w:t>
        </w:r>
      </w:hyperlink>
    </w:p>
    <w:p w14:paraId="4F9852B9" w14:textId="77777777" w:rsidR="00D82461" w:rsidRDefault="00D82461" w:rsidP="00332C27">
      <w:pPr>
        <w:spacing w:line="480" w:lineRule="auto"/>
      </w:pPr>
    </w:p>
    <w:sectPr w:rsidR="00D82461" w:rsidSect="00EC449F">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234DDC" w14:textId="77777777" w:rsidR="002F3646" w:rsidRDefault="002F3646" w:rsidP="00332C27">
      <w:r>
        <w:separator/>
      </w:r>
    </w:p>
  </w:endnote>
  <w:endnote w:type="continuationSeparator" w:id="0">
    <w:p w14:paraId="483CD74D" w14:textId="77777777" w:rsidR="002F3646" w:rsidRDefault="002F3646" w:rsidP="00332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861108" w14:textId="77777777" w:rsidR="002F3646" w:rsidRDefault="002F3646" w:rsidP="00332C27">
      <w:r>
        <w:separator/>
      </w:r>
    </w:p>
  </w:footnote>
  <w:footnote w:type="continuationSeparator" w:id="0">
    <w:p w14:paraId="42633FFB" w14:textId="77777777" w:rsidR="002F3646" w:rsidRDefault="002F3646" w:rsidP="00332C2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B638F6" w14:textId="77777777" w:rsidR="00332C27" w:rsidRDefault="00332C27" w:rsidP="00D82461">
    <w:pPr>
      <w:pStyle w:val="Header"/>
    </w:pPr>
    <w:r>
      <w:tab/>
    </w:r>
    <w:r>
      <w:tab/>
    </w:r>
    <w:r>
      <w:tab/>
    </w:r>
    <w: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DA7C14"/>
    <w:multiLevelType w:val="multilevel"/>
    <w:tmpl w:val="C4F0A6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9"/>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C27"/>
    <w:rsid w:val="000C44A2"/>
    <w:rsid w:val="002F3646"/>
    <w:rsid w:val="00332C27"/>
    <w:rsid w:val="008A3E79"/>
    <w:rsid w:val="00A87F46"/>
    <w:rsid w:val="00B45401"/>
    <w:rsid w:val="00C71ACC"/>
    <w:rsid w:val="00D82461"/>
    <w:rsid w:val="00DA0683"/>
    <w:rsid w:val="00EC449F"/>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6F546D4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2C27"/>
    <w:pPr>
      <w:tabs>
        <w:tab w:val="center" w:pos="4680"/>
        <w:tab w:val="right" w:pos="9360"/>
      </w:tabs>
    </w:pPr>
  </w:style>
  <w:style w:type="character" w:customStyle="1" w:styleId="HeaderChar">
    <w:name w:val="Header Char"/>
    <w:basedOn w:val="DefaultParagraphFont"/>
    <w:link w:val="Header"/>
    <w:uiPriority w:val="99"/>
    <w:rsid w:val="00332C27"/>
  </w:style>
  <w:style w:type="paragraph" w:styleId="Footer">
    <w:name w:val="footer"/>
    <w:basedOn w:val="Normal"/>
    <w:link w:val="FooterChar"/>
    <w:uiPriority w:val="99"/>
    <w:unhideWhenUsed/>
    <w:rsid w:val="00332C27"/>
    <w:pPr>
      <w:tabs>
        <w:tab w:val="center" w:pos="4680"/>
        <w:tab w:val="right" w:pos="9360"/>
      </w:tabs>
    </w:pPr>
  </w:style>
  <w:style w:type="character" w:customStyle="1" w:styleId="FooterChar">
    <w:name w:val="Footer Char"/>
    <w:basedOn w:val="DefaultParagraphFont"/>
    <w:link w:val="Footer"/>
    <w:uiPriority w:val="99"/>
    <w:rsid w:val="00332C27"/>
  </w:style>
  <w:style w:type="paragraph" w:styleId="NormalWeb">
    <w:name w:val="Normal (Web)"/>
    <w:basedOn w:val="Normal"/>
    <w:uiPriority w:val="99"/>
    <w:semiHidden/>
    <w:unhideWhenUsed/>
    <w:rsid w:val="008A3E79"/>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8A3E79"/>
    <w:rPr>
      <w:b/>
      <w:bCs/>
    </w:rPr>
  </w:style>
  <w:style w:type="character" w:styleId="Hyperlink">
    <w:name w:val="Hyperlink"/>
    <w:basedOn w:val="DefaultParagraphFont"/>
    <w:uiPriority w:val="99"/>
    <w:semiHidden/>
    <w:unhideWhenUsed/>
    <w:rsid w:val="00D824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8608901">
      <w:bodyDiv w:val="1"/>
      <w:marLeft w:val="0"/>
      <w:marRight w:val="0"/>
      <w:marTop w:val="0"/>
      <w:marBottom w:val="0"/>
      <w:divBdr>
        <w:top w:val="none" w:sz="0" w:space="0" w:color="auto"/>
        <w:left w:val="none" w:sz="0" w:space="0" w:color="auto"/>
        <w:bottom w:val="none" w:sz="0" w:space="0" w:color="auto"/>
        <w:right w:val="none" w:sz="0" w:space="0" w:color="auto"/>
      </w:divBdr>
    </w:div>
    <w:div w:id="170159242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search.ebscohost.com.proxymu.wrlc.org/login.aspx?direct=true&amp;db=ehh&amp;AN=41537295&amp;site=ehost-live" TargetMode="External"/><Relationship Id="rId12" Type="http://schemas.openxmlformats.org/officeDocument/2006/relationships/hyperlink" Target="http://www.jstor.org.proxymu.wrlc.org/stable/20457047" TargetMode="External"/><Relationship Id="rId13" Type="http://schemas.openxmlformats.org/officeDocument/2006/relationships/hyperlink" Target="http://search.ebscohost.com.proxymu.wrlc.org/login.aspx?direct=true&amp;db=ehh&amp;AN=19577200&amp;site=ehost-live" TargetMode="External"/><Relationship Id="rId14" Type="http://schemas.openxmlformats.org/officeDocument/2006/relationships/hyperlink" Target="http://www.jstor.org.proxymu.wrlc.org/stable/30037888" TargetMode="External"/><Relationship Id="rId15" Type="http://schemas.openxmlformats.org/officeDocument/2006/relationships/header" Target="head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earch.ebscohost.com.proxymu.wrlc.org/login.aspx?direct=true&amp;db=ehh&amp;AN=70064601&amp;site=ehost-live" TargetMode="External"/><Relationship Id="rId8" Type="http://schemas.openxmlformats.org/officeDocument/2006/relationships/hyperlink" Target="https://teachmsc.wikispaces.com/file/view/WritingFromSourcesWritingFromSentences.pdf/240260167/WritingFromSourcesWritingFromSentences.pdf" TargetMode="External"/><Relationship Id="rId9" Type="http://schemas.openxmlformats.org/officeDocument/2006/relationships/hyperlink" Target="http://www.jstor.org.proxymu.wrlc.org/stable/377413" TargetMode="External"/><Relationship Id="rId10" Type="http://schemas.openxmlformats.org/officeDocument/2006/relationships/hyperlink" Target="http://chronicle.com.proxymu.wrlc.org/article/Its-Not-You/465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646</Words>
  <Characters>3688</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Naif Alharbi</dc:creator>
  <cp:keywords/>
  <dc:description/>
  <cp:lastModifiedBy>Naif Alharbi</cp:lastModifiedBy>
  <cp:revision>1</cp:revision>
  <dcterms:created xsi:type="dcterms:W3CDTF">2019-03-29T20:04:00Z</dcterms:created>
  <dcterms:modified xsi:type="dcterms:W3CDTF">2019-04-04T09:11:00Z</dcterms:modified>
</cp:coreProperties>
</file>